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32"/>
          <w:szCs w:val="32"/>
        </w:rPr>
      </w:pPr>
      <w:r>
        <w:rPr>
          <w:rFonts w:hint="eastAsia" w:ascii="宋体" w:hAnsi="宋体" w:eastAsia="宋体" w:cs="宋体"/>
          <w:b/>
          <w:color w:val="FF0000"/>
          <w:sz w:val="32"/>
          <w:szCs w:val="32"/>
        </w:rPr>
        <w:t>协会</w:t>
      </w:r>
      <w:r>
        <w:rPr>
          <w:rFonts w:hint="eastAsia" w:ascii="宋体" w:hAnsi="宋体" w:eastAsia="宋体" w:cs="宋体"/>
          <w:b/>
          <w:sz w:val="32"/>
          <w:szCs w:val="32"/>
        </w:rPr>
        <w:t>标准项目建议书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ind w:left="-5" w:leftChars="-6" w:hanging="12" w:hangingChars="7"/>
              <w:jc w:val="center"/>
              <w:rPr>
                <w:rFonts w:hint="eastAsia" w:ascii="宋体" w:hAnsi="宋体" w:eastAsia="宋体" w:cs="宋体"/>
                <w:sz w:val="18"/>
                <w:szCs w:val="18"/>
              </w:rPr>
            </w:pPr>
            <w:r>
              <w:rPr>
                <w:rFonts w:hint="eastAsia" w:ascii="宋体" w:hAnsi="宋体" w:eastAsia="宋体" w:cs="宋体"/>
                <w:sz w:val="18"/>
                <w:szCs w:val="18"/>
              </w:rPr>
              <w:t>(中文)</w:t>
            </w:r>
          </w:p>
        </w:tc>
        <w:tc>
          <w:tcPr>
            <w:tcW w:w="3086" w:type="dxa"/>
            <w:gridSpan w:val="4"/>
            <w:vAlign w:val="center"/>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产品碳足迹  产品种类规则  复合材料光伏支架</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(英文)</w:t>
            </w:r>
          </w:p>
        </w:tc>
        <w:tc>
          <w:tcPr>
            <w:tcW w:w="2644" w:type="dxa"/>
            <w:gridSpan w:val="2"/>
            <w:vAlign w:val="center"/>
          </w:tcPr>
          <w:p>
            <w:pPr>
              <w:rPr>
                <w:rFonts w:hint="eastAsia" w:ascii="宋体" w:hAnsi="宋体" w:eastAsia="宋体" w:cs="宋体"/>
                <w:sz w:val="18"/>
                <w:szCs w:val="18"/>
              </w:rPr>
            </w:pPr>
            <w:r>
              <w:rPr>
                <w:rFonts w:hint="eastAsia" w:ascii="宋体" w:hAnsi="宋体" w:eastAsia="宋体" w:cs="宋体"/>
                <w:sz w:val="18"/>
              </w:rPr>
              <w:t>Product Carbon Footprint  Product Type Rules  Composite Material Supports for Photovoltaic modules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制定或修订</w:t>
            </w:r>
          </w:p>
        </w:tc>
        <w:tc>
          <w:tcPr>
            <w:tcW w:w="161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 制定</w:t>
            </w:r>
          </w:p>
        </w:tc>
        <w:tc>
          <w:tcPr>
            <w:tcW w:w="146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修订</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被修订标准号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采用程度</w:t>
            </w:r>
          </w:p>
        </w:tc>
        <w:tc>
          <w:tcPr>
            <w:tcW w:w="107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IDT</w:t>
            </w:r>
          </w:p>
        </w:tc>
        <w:tc>
          <w:tcPr>
            <w:tcW w:w="1080"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MOD</w:t>
            </w:r>
          </w:p>
        </w:tc>
        <w:tc>
          <w:tcPr>
            <w:tcW w:w="92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NEQ</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采标号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国际标准名称（中文）</w:t>
            </w:r>
          </w:p>
        </w:tc>
        <w:tc>
          <w:tcPr>
            <w:tcW w:w="3086" w:type="dxa"/>
            <w:gridSpan w:val="4"/>
            <w:vAlign w:val="center"/>
          </w:tcPr>
          <w:p>
            <w:pPr>
              <w:snapToGrid w:val="0"/>
              <w:spacing w:line="360" w:lineRule="auto"/>
              <w:rPr>
                <w:rFonts w:hint="eastAsia" w:ascii="宋体" w:hAnsi="宋体" w:eastAsia="宋体" w:cs="宋体"/>
                <w:sz w:val="18"/>
                <w:szCs w:val="18"/>
              </w:rPr>
            </w:pP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国际标准名称（英文）</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ICS分类号</w:t>
            </w:r>
          </w:p>
        </w:tc>
        <w:tc>
          <w:tcPr>
            <w:tcW w:w="3086" w:type="dxa"/>
            <w:gridSpan w:val="4"/>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83.120</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中国标准分类号</w:t>
            </w:r>
          </w:p>
        </w:tc>
        <w:tc>
          <w:tcPr>
            <w:tcW w:w="2644" w:type="dxa"/>
            <w:gridSpan w:val="2"/>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标准主要起草单位</w:t>
            </w:r>
          </w:p>
        </w:tc>
        <w:tc>
          <w:tcPr>
            <w:tcW w:w="3086" w:type="dxa"/>
            <w:gridSpan w:val="4"/>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江苏飞博尔新材料科技有限公司</w:t>
            </w:r>
            <w:r>
              <w:rPr>
                <w:rFonts w:hint="eastAsia" w:ascii="宋体" w:hAnsi="宋体" w:eastAsia="宋体" w:cs="宋体"/>
                <w:sz w:val="18"/>
                <w:szCs w:val="18"/>
                <w:lang w:eastAsia="zh-CN"/>
              </w:rPr>
              <w:t>、</w:t>
            </w:r>
            <w:bookmarkStart w:id="1" w:name="_GoBack"/>
            <w:bookmarkEnd w:id="1"/>
            <w:r>
              <w:rPr>
                <w:rFonts w:hint="eastAsia" w:ascii="宋体" w:hAnsi="宋体" w:eastAsia="宋体" w:cs="宋体"/>
                <w:sz w:val="18"/>
                <w:szCs w:val="18"/>
              </w:rPr>
              <w:t>中纤复材再生资源咨询服务（北京）有限公司</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计划起止时间</w:t>
            </w:r>
          </w:p>
        </w:tc>
        <w:tc>
          <w:tcPr>
            <w:tcW w:w="2644"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目的﹑意义或必</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要性</w:t>
            </w:r>
          </w:p>
        </w:tc>
        <w:tc>
          <w:tcPr>
            <w:tcW w:w="7573" w:type="dxa"/>
            <w:gridSpan w:val="8"/>
            <w:vAlign w:val="center"/>
          </w:tcPr>
          <w:p>
            <w:pPr>
              <w:widowControl/>
              <w:shd w:val="clear" w:color="auto" w:fill="FFFFFF"/>
              <w:spacing w:before="240"/>
              <w:ind w:firstLine="360" w:firstLineChars="200"/>
              <w:jc w:val="left"/>
              <w:rPr>
                <w:rFonts w:hint="eastAsia" w:ascii="宋体" w:hAnsi="宋体" w:eastAsia="宋体" w:cs="宋体"/>
                <w:sz w:val="18"/>
              </w:rPr>
            </w:pPr>
            <w:r>
              <w:rPr>
                <w:rFonts w:hint="eastAsia" w:ascii="宋体" w:hAnsi="宋体" w:eastAsia="宋体" w:cs="宋体"/>
                <w:sz w:val="18"/>
              </w:rPr>
              <w:t>2021年12月31日，工信部等</w:t>
            </w:r>
            <w:r>
              <w:rPr>
                <w:rFonts w:hint="eastAsia" w:ascii="宋体" w:hAnsi="宋体" w:eastAsia="宋体" w:cs="宋体"/>
                <w:sz w:val="18"/>
                <w:lang w:val="en-US" w:eastAsia="zh-CN"/>
              </w:rPr>
              <w:t>几</w:t>
            </w:r>
            <w:r>
              <w:rPr>
                <w:rFonts w:hint="eastAsia" w:ascii="宋体" w:hAnsi="宋体" w:eastAsia="宋体" w:cs="宋体"/>
                <w:sz w:val="18"/>
              </w:rPr>
              <w:t>部门联合下发《智能光伏产业创新发展行动计划（2021-2025年）》（工信部联电子〔2021〕226号），文件要求“开发低碳材料、工艺、装备，鼓励利用可再生能源生产，促进行业优先低碳转型。研究制定光伏行业碳排放控制目标和行动方案，制定光伏发电全生命周期碳足迹评价标准并开展认证。”</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2022年8月24日，工业和信息化部办公厅、市场监管总局办公厅、国家能源局综合司联合下发的《关于促进光伏产业链供应链协同发展的通知》（工信厅联电子函〔2022〕205号）文件中提出“加强光伏行业运行监测，推进实现动态监测、风险预警和政府决策快速响应，引导产业持续健康发展。加强光伏产业链全生命周期管理和碳足迹核算，加快废弃组件回收技术、标准及产业化研究。”</w:t>
            </w:r>
          </w:p>
          <w:p>
            <w:pPr>
              <w:ind w:firstLine="360" w:firstLineChars="200"/>
              <w:rPr>
                <w:rFonts w:hint="eastAsia" w:ascii="宋体" w:hAnsi="宋体" w:eastAsia="宋体" w:cs="宋体"/>
                <w:sz w:val="18"/>
              </w:rPr>
            </w:pPr>
            <w:r>
              <w:rPr>
                <w:rFonts w:hint="eastAsia" w:ascii="宋体" w:hAnsi="宋体" w:eastAsia="宋体" w:cs="宋体"/>
                <w:sz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国家产品碳标识认证制度全面建立，碳标识得到企业和消费者的普遍认同，主要产品碳足迹核算规则、标准和碳标识得到国际广泛认可，产品碳足迹管理体系为经济社会发展全面绿色转型提供有力保障。”</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光伏产业是基于半导体技术和新能源需求而融合发展、 快速兴起的朝阳产业，也是实现制造强国和能源革命的重大关键领域。全面提升我国光伏产业发展质量和效率，推动实现2030年碳达峰、2060年碳中和目标。</w:t>
            </w:r>
          </w:p>
          <w:p>
            <w:pPr>
              <w:ind w:firstLine="360" w:firstLineChars="200"/>
              <w:rPr>
                <w:rFonts w:hint="eastAsia" w:ascii="宋体" w:hAnsi="宋体" w:eastAsia="宋体" w:cs="宋体"/>
                <w:sz w:val="18"/>
              </w:rPr>
            </w:pPr>
            <w:r>
              <w:rPr>
                <w:rFonts w:hint="eastAsia" w:ascii="宋体" w:hAnsi="宋体" w:eastAsia="宋体" w:cs="宋体"/>
                <w:sz w:val="18"/>
              </w:rPr>
              <w:t>在光伏发电系统中，光伏支架作为支撑光伏板的重要部件，其性能直接影响到光伏发电系统的稳定性和安全性。复合材料光伏支架是由玻璃纤维、碳纤维等高性能纤维与树脂基体复合而成的一种材料。相较于传统的钢材光伏支架，复合材料光伏支架具有更高的强度、更低的重量和更好的耐腐蚀性，因此在极端气候条件下表现出了更强的稳定性和耐用性。</w:t>
            </w:r>
          </w:p>
          <w:p>
            <w:pPr>
              <w:ind w:firstLine="360" w:firstLineChars="200"/>
              <w:rPr>
                <w:rFonts w:hint="eastAsia" w:ascii="宋体" w:hAnsi="宋体" w:eastAsia="宋体" w:cs="宋体"/>
                <w:color w:val="191919"/>
                <w:shd w:val="clear" w:color="auto" w:fill="FFFFFF"/>
              </w:rPr>
            </w:pPr>
            <w:r>
              <w:rPr>
                <w:rFonts w:hint="eastAsia" w:ascii="宋体" w:hAnsi="宋体" w:eastAsia="宋体" w:cs="宋体"/>
                <w:kern w:val="0"/>
                <w:sz w:val="18"/>
              </w:rPr>
              <w:t>2023年2月欧洲碳边界调整机制（简称CBAM，即“碳关税”）协议正式通过，规定“自2023年10月1日起，将要求进口商支付进口到欧盟的进口产品生产地和欧盟ETS碳价的差额，以确保进口产品与本土产品承担相同的碳排放成本。”</w:t>
            </w:r>
            <w:r>
              <w:rPr>
                <w:rFonts w:hint="eastAsia" w:ascii="宋体" w:hAnsi="宋体" w:eastAsia="宋体" w:cs="宋体"/>
                <w:color w:val="191919"/>
                <w:shd w:val="clear" w:color="auto" w:fill="FFFFFF"/>
              </w:rPr>
              <w:t xml:space="preserve"> </w:t>
            </w:r>
          </w:p>
          <w:p>
            <w:pPr>
              <w:pStyle w:val="2"/>
              <w:spacing w:line="240" w:lineRule="auto"/>
              <w:ind w:firstLine="360" w:firstLineChars="200"/>
              <w:rPr>
                <w:rFonts w:hint="eastAsia" w:ascii="宋体" w:hAnsi="宋体" w:eastAsia="宋体" w:cs="宋体"/>
              </w:rPr>
            </w:pPr>
            <w:r>
              <w:rPr>
                <w:rFonts w:hint="eastAsia" w:ascii="宋体" w:hAnsi="宋体" w:eastAsia="宋体" w:cs="宋体"/>
                <w:b w:val="0"/>
                <w:kern w:val="0"/>
                <w:sz w:val="18"/>
                <w:szCs w:val="24"/>
              </w:rPr>
              <w:t>从光伏产业链的碳排放环节来看，光伏组件三大碳排放环节 ：多晶硅、铝材、玻璃，作为辅材的铝合金支架是重要的碳排放来源之一。对于铝合金支架，要通过电解铝工艺制备，而电解铝是典型的高耗能产业。为了满足欧盟碳关税政策，要进一步降低现有光伏组件的碳排放量，使用复合材料光伏边框，则是行之有效的方法之一。</w:t>
            </w:r>
          </w:p>
          <w:p>
            <w:pPr>
              <w:pStyle w:val="3"/>
              <w:shd w:val="clear" w:color="auto" w:fill="FFFFFF"/>
              <w:spacing w:before="0" w:after="0" w:line="240" w:lineRule="auto"/>
              <w:ind w:firstLine="360" w:firstLineChars="200"/>
              <w:jc w:val="left"/>
              <w:rPr>
                <w:rFonts w:hint="eastAsia" w:ascii="宋体" w:hAnsi="宋体" w:eastAsia="宋体" w:cs="宋体"/>
                <w:b w:val="0"/>
                <w:bCs w:val="0"/>
                <w:kern w:val="0"/>
                <w:sz w:val="18"/>
                <w:szCs w:val="24"/>
              </w:rPr>
            </w:pPr>
            <w:r>
              <w:rPr>
                <w:rFonts w:hint="eastAsia" w:ascii="宋体" w:hAnsi="宋体" w:eastAsia="宋体" w:cs="宋体"/>
                <w:b w:val="0"/>
                <w:bCs w:val="0"/>
                <w:kern w:val="0"/>
                <w:sz w:val="18"/>
                <w:szCs w:val="24"/>
              </w:rPr>
              <w:t>在新疆米东光伏项目中使用</w:t>
            </w:r>
            <w:r>
              <w:rPr>
                <w:rFonts w:hint="eastAsia" w:ascii="宋体" w:hAnsi="宋体" w:eastAsia="宋体" w:cs="宋体"/>
              </w:rPr>
              <w:fldChar w:fldCharType="begin"/>
            </w:r>
            <w:r>
              <w:rPr>
                <w:rFonts w:hint="eastAsia" w:ascii="宋体" w:hAnsi="宋体" w:eastAsia="宋体" w:cs="宋体"/>
              </w:rPr>
              <w:instrText xml:space="preserve"> HYPERLINK "http://www.stfrps.com/" </w:instrText>
            </w:r>
            <w:r>
              <w:rPr>
                <w:rFonts w:hint="eastAsia" w:ascii="宋体" w:hAnsi="宋体" w:eastAsia="宋体" w:cs="宋体"/>
              </w:rPr>
              <w:fldChar w:fldCharType="separate"/>
            </w:r>
            <w:r>
              <w:rPr>
                <w:rFonts w:hint="eastAsia" w:ascii="宋体" w:hAnsi="宋体" w:eastAsia="宋体" w:cs="宋体"/>
                <w:b w:val="0"/>
                <w:bCs w:val="0"/>
                <w:kern w:val="0"/>
                <w:sz w:val="18"/>
                <w:szCs w:val="24"/>
              </w:rPr>
              <w:t>玄武岩</w:t>
            </w:r>
            <w:r>
              <w:rPr>
                <w:rFonts w:hint="eastAsia" w:ascii="宋体" w:hAnsi="宋体" w:eastAsia="宋体" w:cs="宋体"/>
                <w:b w:val="0"/>
                <w:bCs w:val="0"/>
                <w:kern w:val="0"/>
                <w:sz w:val="18"/>
                <w:szCs w:val="24"/>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"http://www.stfrps.com/" </w:instrText>
            </w:r>
            <w:r>
              <w:rPr>
                <w:rFonts w:hint="eastAsia" w:ascii="宋体" w:hAnsi="宋体" w:eastAsia="宋体" w:cs="宋体"/>
              </w:rPr>
              <w:fldChar w:fldCharType="separate"/>
            </w:r>
            <w:r>
              <w:rPr>
                <w:rFonts w:hint="eastAsia" w:ascii="宋体" w:hAnsi="宋体" w:eastAsia="宋体" w:cs="宋体"/>
                <w:b w:val="0"/>
                <w:bCs w:val="0"/>
                <w:kern w:val="0"/>
                <w:sz w:val="18"/>
                <w:szCs w:val="24"/>
              </w:rPr>
              <w:t>纤维增强复合材料</w:t>
            </w:r>
            <w:r>
              <w:rPr>
                <w:rFonts w:hint="eastAsia" w:ascii="宋体" w:hAnsi="宋体" w:eastAsia="宋体" w:cs="宋体"/>
                <w:b w:val="0"/>
                <w:bCs w:val="0"/>
                <w:kern w:val="0"/>
                <w:sz w:val="18"/>
                <w:szCs w:val="24"/>
              </w:rPr>
              <w:fldChar w:fldCharType="end"/>
            </w:r>
            <w:r>
              <w:rPr>
                <w:rFonts w:hint="eastAsia" w:ascii="宋体" w:hAnsi="宋体" w:eastAsia="宋体" w:cs="宋体"/>
                <w:b w:val="0"/>
                <w:bCs w:val="0"/>
                <w:kern w:val="0"/>
                <w:sz w:val="18"/>
                <w:szCs w:val="24"/>
              </w:rPr>
              <w:t>（FRP）支架，免涂装FRP-耐蚀钢组合光伏支架与常规支架相比，组合光伏支架可减重24%，且省去传统镀锌工序，每吨支架可减少碳排放700kg，节能减排效果明显，经济社会效益显著。</w:t>
            </w:r>
          </w:p>
          <w:p>
            <w:pPr>
              <w:keepNext w:val="0"/>
              <w:keepLines w:val="0"/>
              <w:suppressLineNumbers w:val="0"/>
              <w:spacing w:before="0" w:beforeAutospacing="0" w:after="0" w:afterAutospacing="0"/>
              <w:ind w:left="0" w:right="0" w:firstLine="360" w:firstLineChars="200"/>
              <w:rPr>
                <w:rFonts w:hint="eastAsia" w:ascii="宋体" w:hAnsi="宋体" w:eastAsia="宋体" w:cs="宋体"/>
              </w:rPr>
            </w:pPr>
            <w:r>
              <w:rPr>
                <w:rFonts w:hint="eastAsia" w:ascii="宋体" w:hAnsi="宋体" w:eastAsia="宋体" w:cs="宋体"/>
                <w:sz w:val="18"/>
              </w:rPr>
              <w:t>有效核算光伏用制品碳足迹，可以剖析企业与光伏支架各生命周期阶段的碳排放量，寻找减碳的机会，并且为企业减碳增效提供方向；同时，开展光伏支架碳足迹核算，也是为应对CBAM，降低碳关税的基础工作，为我国光伏支架产品的出口，提供碳足迹核算的依据；也可以增加市场竞争力，同时也是企业响应国家“碳达峰、碳中和”号召的社会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范围和主要</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技术内容</w:t>
            </w:r>
          </w:p>
        </w:tc>
        <w:tc>
          <w:tcPr>
            <w:tcW w:w="7573" w:type="dxa"/>
            <w:gridSpan w:val="8"/>
            <w:vAlign w:val="center"/>
          </w:tcPr>
          <w:p>
            <w:pPr>
              <w:ind w:firstLine="370" w:firstLineChars="206"/>
              <w:rPr>
                <w:rFonts w:hint="eastAsia" w:ascii="宋体" w:hAnsi="宋体" w:eastAsia="宋体" w:cs="宋体"/>
                <w:sz w:val="18"/>
              </w:rPr>
            </w:pPr>
            <w:r>
              <w:rPr>
                <w:rFonts w:hint="eastAsia" w:ascii="宋体" w:hAnsi="宋体" w:eastAsia="宋体" w:cs="宋体"/>
                <w:sz w:val="18"/>
              </w:rPr>
              <w:t>本标准主要对光伏用复合材料支架产品碳足迹的术语与定义、总则、产品及型号描述、产品碳足迹的系统边界、核算数据收集进行了规定。</w:t>
            </w:r>
          </w:p>
          <w:p>
            <w:pPr>
              <w:pStyle w:val="2"/>
              <w:spacing w:line="240" w:lineRule="auto"/>
              <w:rPr>
                <w:rFonts w:hint="eastAsia" w:ascii="宋体" w:hAnsi="宋体" w:eastAsia="宋体" w:cs="宋体"/>
                <w:b w:val="0"/>
                <w:sz w:val="18"/>
                <w:szCs w:val="24"/>
              </w:rPr>
            </w:pPr>
            <w:r>
              <w:rPr>
                <w:rFonts w:hint="eastAsia" w:ascii="宋体" w:hAnsi="宋体" w:eastAsia="宋体" w:cs="宋体"/>
              </w:rPr>
              <w:t xml:space="preserve">   </w:t>
            </w:r>
            <w:r>
              <w:rPr>
                <w:rFonts w:hint="eastAsia" w:ascii="宋体" w:hAnsi="宋体" w:eastAsia="宋体" w:cs="宋体"/>
                <w:b w:val="0"/>
                <w:sz w:val="18"/>
                <w:szCs w:val="24"/>
              </w:rPr>
              <w:t>1. 明确产品全生命周期各阶段：原材料及加工阶段、产品生产阶段、产品运输阶段、产品使用阶段、废弃回收处理阶段；</w:t>
            </w:r>
          </w:p>
          <w:p>
            <w:pPr>
              <w:ind w:firstLine="435"/>
              <w:rPr>
                <w:rFonts w:hint="eastAsia" w:ascii="宋体" w:hAnsi="宋体" w:eastAsia="宋体" w:cs="宋体"/>
                <w:sz w:val="18"/>
              </w:rPr>
            </w:pPr>
            <w:r>
              <w:rPr>
                <w:rFonts w:hint="eastAsia" w:ascii="宋体" w:hAnsi="宋体" w:eastAsia="宋体" w:cs="宋体"/>
                <w:sz w:val="18"/>
              </w:rPr>
              <w:t>2. 根据各阶段的工艺流程确认每个阶段的温室气体排放源；</w:t>
            </w:r>
          </w:p>
          <w:p>
            <w:pPr>
              <w:pStyle w:val="2"/>
              <w:spacing w:line="240" w:lineRule="auto"/>
              <w:ind w:firstLine="435"/>
              <w:rPr>
                <w:rFonts w:hint="eastAsia" w:ascii="宋体" w:hAnsi="宋体" w:eastAsia="宋体" w:cs="宋体"/>
                <w:b w:val="0"/>
                <w:kern w:val="2"/>
                <w:sz w:val="18"/>
                <w:szCs w:val="20"/>
                <w:lang w:val="en-US" w:eastAsia="zh-CN" w:bidi="ar-SA"/>
              </w:rPr>
            </w:pPr>
            <w:r>
              <w:rPr>
                <w:rFonts w:hint="eastAsia" w:ascii="宋体" w:hAnsi="宋体" w:eastAsia="宋体" w:cs="宋体"/>
                <w:b w:val="0"/>
                <w:kern w:val="2"/>
                <w:sz w:val="18"/>
                <w:szCs w:val="20"/>
                <w:lang w:val="en-US" w:eastAsia="zh-CN" w:bidi="ar-SA"/>
              </w:rPr>
              <w:t>3. 确认生命周期各阶段温室气体排放数据的收集要求并给出所获得排放源数据的取舍要求；</w:t>
            </w:r>
          </w:p>
          <w:p>
            <w:pPr>
              <w:ind w:left="720" w:hanging="720" w:hangingChars="400"/>
              <w:rPr>
                <w:rFonts w:hint="eastAsia" w:ascii="宋体" w:hAnsi="宋体" w:eastAsia="宋体" w:cs="宋体"/>
                <w:b w:val="0"/>
                <w:kern w:val="2"/>
                <w:sz w:val="18"/>
                <w:szCs w:val="20"/>
                <w:lang w:val="en-US" w:eastAsia="zh-CN" w:bidi="ar-SA"/>
              </w:rPr>
            </w:pPr>
            <w:r>
              <w:rPr>
                <w:rFonts w:hint="eastAsia" w:ascii="宋体" w:hAnsi="宋体" w:eastAsia="宋体" w:cs="宋体"/>
                <w:b w:val="0"/>
                <w:kern w:val="2"/>
                <w:sz w:val="18"/>
                <w:szCs w:val="20"/>
                <w:lang w:val="en-US" w:eastAsia="zh-CN" w:bidi="ar-SA"/>
              </w:rPr>
              <w:t xml:space="preserve">     4. 根据确认的排放源及收集的数据生成碳足迹报告。</w:t>
            </w:r>
          </w:p>
          <w:p>
            <w:pPr>
              <w:pStyle w:val="2"/>
              <w:tabs>
                <w:tab w:val="left" w:pos="1059"/>
              </w:tabs>
              <w:spacing w:line="240" w:lineRule="auto"/>
              <w:ind w:firstLine="360" w:firstLineChars="200"/>
              <w:rPr>
                <w:rFonts w:hint="eastAsia" w:ascii="宋体" w:hAnsi="宋体" w:eastAsia="宋体" w:cs="宋体"/>
                <w:sz w:val="18"/>
                <w:szCs w:val="18"/>
                <w:lang w:eastAsia="zh-CN"/>
              </w:rPr>
            </w:pPr>
            <w:r>
              <w:rPr>
                <w:rFonts w:hint="eastAsia" w:ascii="宋体" w:hAnsi="宋体" w:eastAsia="宋体" w:cs="宋体"/>
                <w:b w:val="0"/>
                <w:bCs/>
                <w:sz w:val="18"/>
              </w:rPr>
              <w:t>本标准适用于光伏复合材料支架制品的碳足迹核算。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国内外情况</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简要说明</w:t>
            </w:r>
          </w:p>
        </w:tc>
        <w:tc>
          <w:tcPr>
            <w:tcW w:w="7573" w:type="dxa"/>
            <w:gridSpan w:val="8"/>
            <w:vAlign w:val="center"/>
          </w:tcPr>
          <w:p>
            <w:pPr>
              <w:numPr>
                <w:ilvl w:val="0"/>
                <w:numId w:val="1"/>
              </w:numPr>
              <w:rPr>
                <w:rFonts w:hint="eastAsia" w:ascii="宋体" w:hAnsi="宋体" w:eastAsia="宋体" w:cs="宋体"/>
                <w:b w:val="0"/>
                <w:sz w:val="18"/>
                <w:szCs w:val="24"/>
              </w:rPr>
            </w:pPr>
            <w:r>
              <w:rPr>
                <w:rFonts w:hint="eastAsia" w:ascii="宋体" w:hAnsi="宋体" w:eastAsia="宋体" w:cs="宋体"/>
                <w:b w:val="0"/>
                <w:sz w:val="18"/>
                <w:szCs w:val="24"/>
              </w:rPr>
              <w:t>国内外对该技术研究情况简要说明：</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国内，关于碳足迹相关标准正在制定中，没有关于</w:t>
            </w:r>
            <w:r>
              <w:rPr>
                <w:rFonts w:hint="eastAsia" w:ascii="宋体" w:hAnsi="宋体" w:eastAsia="宋体" w:cs="宋体"/>
                <w:b w:val="0"/>
                <w:bCs/>
                <w:sz w:val="18"/>
              </w:rPr>
              <w:t>光伏复合材料支架制品</w:t>
            </w:r>
            <w:r>
              <w:rPr>
                <w:rFonts w:hint="eastAsia" w:ascii="宋体" w:hAnsi="宋体" w:eastAsia="宋体" w:cs="宋体"/>
                <w:b w:val="0"/>
                <w:sz w:val="18"/>
                <w:szCs w:val="24"/>
              </w:rPr>
              <w:t>相关碳足迹标准。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项目与国际标准或国外先进标准采用程度的考虑：</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该标准项目目前尚无对应的国际标准或国外先进标准。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与国内相关标准间的关系：</w:t>
            </w:r>
            <w:bookmarkStart w:id="0" w:name="_Hlk33710103"/>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该标准将参考ISO14067《温室气体 产品碳足迹 量化要求和指南》进行相关术语的定义；</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该标准将参考PAS2050《商品和服务在生命周期内的温室气体排放评价规范》、DB44∕T 1874《产品碳足迹 产品种类规则 巴氏杀菌乳》的结构及内容开展编制工作。</w:t>
            </w:r>
            <w:bookmarkEnd w:id="0"/>
          </w:p>
          <w:p>
            <w:pPr>
              <w:numPr>
                <w:ilvl w:val="0"/>
                <w:numId w:val="1"/>
              </w:numPr>
              <w:ind w:left="0" w:leftChars="0" w:firstLine="0" w:firstLineChars="0"/>
              <w:rPr>
                <w:rFonts w:hint="eastAsia" w:ascii="宋体" w:hAnsi="宋体" w:eastAsia="宋体" w:cs="宋体"/>
                <w:sz w:val="18"/>
                <w:szCs w:val="18"/>
              </w:rPr>
            </w:pPr>
            <w:r>
              <w:rPr>
                <w:rFonts w:hint="eastAsia" w:ascii="宋体" w:hAnsi="宋体" w:eastAsia="宋体" w:cs="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cs="宋体"/>
                <w:szCs w:val="18"/>
              </w:rPr>
            </w:pPr>
            <w:r>
              <w:rPr>
                <w:rFonts w:hint="eastAsia" w:ascii="宋体" w:hAnsi="宋体" w:eastAsia="宋体" w:cs="宋体"/>
                <w:szCs w:val="18"/>
              </w:rPr>
              <w:t>牵头单位</w:t>
            </w:r>
          </w:p>
        </w:tc>
        <w:tc>
          <w:tcPr>
            <w:tcW w:w="3972" w:type="dxa"/>
            <w:gridSpan w:val="5"/>
            <w:vAlign w:val="center"/>
          </w:tcPr>
          <w:p>
            <w:pPr>
              <w:snapToGrid w:val="0"/>
              <w:spacing w:line="360" w:lineRule="auto"/>
              <w:jc w:val="center"/>
              <w:rPr>
                <w:rFonts w:hint="eastAsia" w:ascii="宋体" w:hAnsi="宋体" w:eastAsia="宋体" w:cs="宋体"/>
                <w:sz w:val="18"/>
                <w:szCs w:val="18"/>
              </w:rPr>
            </w:pP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归口管理部门</w:t>
            </w:r>
          </w:p>
        </w:tc>
        <w:tc>
          <w:tcPr>
            <w:tcW w:w="1900" w:type="dxa"/>
            <w:vAlign w:val="center"/>
          </w:tcPr>
          <w:p>
            <w:pPr>
              <w:snapToGrid w:val="0"/>
              <w:spacing w:line="360" w:lineRule="auto"/>
              <w:rPr>
                <w:rFonts w:hint="eastAsia" w:ascii="宋体" w:hAnsi="宋体" w:eastAsia="宋体" w:cs="宋体"/>
                <w:sz w:val="18"/>
                <w:szCs w:val="18"/>
              </w:rPr>
            </w:pPr>
          </w:p>
          <w:p>
            <w:pPr>
              <w:snapToGrid w:val="0"/>
              <w:rPr>
                <w:rFonts w:hint="eastAsia" w:ascii="宋体" w:hAnsi="宋体" w:eastAsia="宋体" w:cs="宋体"/>
                <w:sz w:val="18"/>
                <w:szCs w:val="18"/>
              </w:rPr>
            </w:pPr>
            <w:r>
              <w:rPr>
                <w:rFonts w:hint="eastAsia" w:ascii="宋体" w:hAnsi="宋体" w:eastAsia="宋体" w:cs="宋体"/>
                <w:sz w:val="18"/>
                <w:szCs w:val="18"/>
              </w:rPr>
              <w:t>（签字、盖公章）</w:t>
            </w:r>
          </w:p>
          <w:p>
            <w:pPr>
              <w:snapToGrid w:val="0"/>
              <w:rPr>
                <w:rFonts w:hint="eastAsia" w:ascii="宋体" w:hAnsi="宋体" w:eastAsia="宋体" w:cs="宋体"/>
                <w:sz w:val="18"/>
                <w:szCs w:val="18"/>
              </w:rPr>
            </w:pPr>
            <w:r>
              <w:rPr>
                <w:rFonts w:hint="eastAsia" w:ascii="宋体" w:hAnsi="宋体" w:eastAsia="宋体" w:cs="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FkZjRlMjgxMjdlOTgyODBiNWQ1YWYyNmYyNjI5MDEifQ=="/>
  </w:docVars>
  <w:rsids>
    <w:rsidRoot w:val="009F1940"/>
    <w:rsid w:val="00070E68"/>
    <w:rsid w:val="00126298"/>
    <w:rsid w:val="0031195C"/>
    <w:rsid w:val="00762C08"/>
    <w:rsid w:val="009F1940"/>
    <w:rsid w:val="00AE6150"/>
    <w:rsid w:val="07BB0362"/>
    <w:rsid w:val="0A48726A"/>
    <w:rsid w:val="1B091729"/>
    <w:rsid w:val="359710D4"/>
    <w:rsid w:val="38E03F73"/>
    <w:rsid w:val="3D977E72"/>
    <w:rsid w:val="571B6231"/>
    <w:rsid w:val="5BA5318C"/>
    <w:rsid w:val="648137A0"/>
    <w:rsid w:val="66D16505"/>
    <w:rsid w:val="6C4A72AE"/>
    <w:rsid w:val="7FD82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9"/>
    <w:pPr>
      <w:keepNext/>
      <w:keepLines/>
      <w:spacing w:line="360" w:lineRule="auto"/>
      <w:outlineLvl w:val="1"/>
    </w:pPr>
    <w:rPr>
      <w:rFonts w:ascii="Arial" w:hAnsi="Arial" w:eastAsia="楷体_GB2312"/>
      <w:b/>
      <w:szCs w:val="2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8</TotalTime>
  <ScaleCrop>false</ScaleCrop>
  <LinksUpToDate>false</LinksUpToDate>
  <CharactersWithSpaces>636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ccram</cp:lastModifiedBy>
  <dcterms:modified xsi:type="dcterms:W3CDTF">2024-01-24T09:38:29Z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DA69337365DD41368FFF7B9AACA155A9_12</vt:lpwstr>
  </property>
</Properties>
</file>